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50" w:rsidRDefault="00C8652A" w:rsidP="00C8652A">
      <w:pPr>
        <w:jc w:val="center"/>
        <w:rPr>
          <w:b/>
        </w:rPr>
      </w:pPr>
      <w:r>
        <w:rPr>
          <w:b/>
        </w:rPr>
        <w:t>К</w:t>
      </w:r>
      <w:r w:rsidR="00F718DB">
        <w:rPr>
          <w:b/>
        </w:rPr>
        <w:t>онцепци</w:t>
      </w:r>
      <w:r>
        <w:rPr>
          <w:b/>
        </w:rPr>
        <w:t>я</w:t>
      </w:r>
      <w:r w:rsidR="00F718DB">
        <w:rPr>
          <w:b/>
        </w:rPr>
        <w:t xml:space="preserve"> кафедральной темы НИР</w:t>
      </w:r>
      <w:r>
        <w:rPr>
          <w:b/>
        </w:rPr>
        <w:t xml:space="preserve"> </w:t>
      </w:r>
      <w:r w:rsidR="00F718DB">
        <w:rPr>
          <w:b/>
        </w:rPr>
        <w:t xml:space="preserve">по научной теме института </w:t>
      </w:r>
    </w:p>
    <w:p w:rsidR="000E7B50" w:rsidRDefault="00F718DB">
      <w:pPr>
        <w:spacing w:line="276" w:lineRule="auto"/>
        <w:jc w:val="center"/>
        <w:rPr>
          <w:b/>
        </w:rPr>
      </w:pPr>
      <w:r>
        <w:rPr>
          <w:b/>
        </w:rPr>
        <w:t xml:space="preserve">«Стратегические направления развития лесного комплекса </w:t>
      </w:r>
    </w:p>
    <w:p w:rsidR="000E7B50" w:rsidRDefault="00F718DB">
      <w:pPr>
        <w:spacing w:line="276" w:lineRule="auto"/>
        <w:jc w:val="center"/>
        <w:rPr>
          <w:b/>
        </w:rPr>
      </w:pPr>
      <w:r>
        <w:rPr>
          <w:b/>
        </w:rPr>
        <w:t>Республики Коми до 2030 года: методология и практика»</w:t>
      </w:r>
    </w:p>
    <w:p w:rsidR="00C8652A" w:rsidRDefault="00C8652A">
      <w:pPr>
        <w:spacing w:line="276" w:lineRule="auto"/>
        <w:jc w:val="center"/>
        <w:rPr>
          <w:b/>
        </w:rPr>
      </w:pPr>
      <w:r>
        <w:rPr>
          <w:b/>
        </w:rPr>
        <w:t>Направление Электроэнергетика и электротехника</w:t>
      </w:r>
    </w:p>
    <w:p w:rsidR="000E7B50" w:rsidRDefault="000E7B50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98"/>
        <w:gridCol w:w="6325"/>
      </w:tblGrid>
      <w:tr w:rsidR="000E7B50">
        <w:trPr>
          <w:tblHeader/>
        </w:trPr>
        <w:tc>
          <w:tcPr>
            <w:tcW w:w="567" w:type="dxa"/>
            <w:vAlign w:val="center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Критерий</w:t>
            </w:r>
          </w:p>
        </w:tc>
        <w:tc>
          <w:tcPr>
            <w:tcW w:w="6401" w:type="dxa"/>
            <w:vAlign w:val="center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Пояснение</w:t>
            </w:r>
          </w:p>
        </w:tc>
      </w:tr>
      <w:tr w:rsidR="000E7B50"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35" w:type="dxa"/>
          </w:tcPr>
          <w:p w:rsidR="000E7B50" w:rsidRDefault="00F718D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Наименование кафедральной темы НИР</w:t>
            </w:r>
          </w:p>
          <w:p w:rsidR="000E7B50" w:rsidRDefault="000E7B50">
            <w:pPr>
              <w:autoSpaceDE w:val="0"/>
              <w:autoSpaceDN w:val="0"/>
              <w:adjustRightInd w:val="0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6401" w:type="dxa"/>
          </w:tcPr>
          <w:p w:rsidR="000E7B50" w:rsidRDefault="00F718DB">
            <w:pPr>
              <w:autoSpaceDE w:val="0"/>
              <w:autoSpaceDN w:val="0"/>
              <w:adjustRightInd w:val="0"/>
              <w:ind w:firstLine="175"/>
              <w:rPr>
                <w:rFonts w:eastAsia="Calibri"/>
              </w:rPr>
            </w:pPr>
            <w:r>
              <w:t>Разработка научных основ устойчивого развития систем энергообеспечения АПК Республики Коми с учетом фактора надежности</w:t>
            </w:r>
          </w:p>
        </w:tc>
      </w:tr>
      <w:tr w:rsidR="000E7B50"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0E7B50" w:rsidRDefault="00F718D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Соответствие темы НИР </w:t>
            </w:r>
            <w:r>
              <w:t xml:space="preserve">основным </w:t>
            </w:r>
            <w:r>
              <w:rPr>
                <w:rFonts w:eastAsia="Calibri"/>
              </w:rPr>
              <w:t xml:space="preserve">приоритетам развития </w:t>
            </w:r>
            <w:r>
              <w:t>лесного сектора экономики РК</w:t>
            </w:r>
          </w:p>
        </w:tc>
        <w:tc>
          <w:tcPr>
            <w:tcW w:w="6401" w:type="dxa"/>
          </w:tcPr>
          <w:p w:rsidR="000E7B50" w:rsidRDefault="00F718DB">
            <w:pPr>
              <w:autoSpaceDE w:val="0"/>
              <w:autoSpaceDN w:val="0"/>
              <w:adjustRightInd w:val="0"/>
              <w:ind w:firstLine="175"/>
              <w:rPr>
                <w:rFonts w:eastAsia="Calibri"/>
              </w:rPr>
            </w:pPr>
            <w:r>
              <w:rPr>
                <w:rFonts w:eastAsia="Calibri"/>
              </w:rPr>
              <w:t>На современном этапе – соответствие не наблюдается</w:t>
            </w:r>
          </w:p>
        </w:tc>
      </w:tr>
      <w:tr w:rsidR="000E7B50"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5" w:type="dxa"/>
          </w:tcPr>
          <w:p w:rsidR="000E7B50" w:rsidRDefault="00F718D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Актуальность исследования с т. з. решений проблем эффективного развития лесного сектора экономики</w:t>
            </w:r>
          </w:p>
        </w:tc>
        <w:tc>
          <w:tcPr>
            <w:tcW w:w="6401" w:type="dxa"/>
          </w:tcPr>
          <w:p w:rsidR="000E7B50" w:rsidRDefault="00F718DB">
            <w:pPr>
              <w:autoSpaceDE w:val="0"/>
              <w:autoSpaceDN w:val="0"/>
              <w:adjustRightInd w:val="0"/>
              <w:ind w:firstLine="175"/>
              <w:rPr>
                <w:rFonts w:eastAsia="Calibri"/>
              </w:rPr>
            </w:pPr>
            <w:r>
              <w:rPr>
                <w:rFonts w:eastAsia="Calibri"/>
              </w:rPr>
              <w:t>На современном этапе не прослеживается</w:t>
            </w:r>
          </w:p>
        </w:tc>
      </w:tr>
      <w:tr w:rsidR="000E7B50"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835" w:type="dxa"/>
          </w:tcPr>
          <w:p w:rsidR="000E7B50" w:rsidRDefault="00F718DB">
            <w:pPr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Новизна (уникальность) предлагаемой технологии (разработки и др.)</w:t>
            </w:r>
          </w:p>
        </w:tc>
        <w:tc>
          <w:tcPr>
            <w:tcW w:w="6401" w:type="dxa"/>
          </w:tcPr>
          <w:p w:rsidR="000E7B50" w:rsidRDefault="00F718DB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Показано, что значительное усложнение расчетных схем ЭЭС при планировании их развития не всегда приводит к увеличению точности расчетов.  На конкретных примерах показано, что решение задачи обоснования резервов мощности с использованием принятой ранее концепции учета только балансовых ограничений приводит к тем же результатам, что и учет еще множества ограничений, введенных в последнее время.</w:t>
            </w:r>
          </w:p>
        </w:tc>
      </w:tr>
      <w:tr w:rsidR="000E7B50">
        <w:trPr>
          <w:trHeight w:val="329"/>
        </w:trPr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35" w:type="dxa"/>
          </w:tcPr>
          <w:p w:rsidR="000E7B50" w:rsidRDefault="00F718D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Цель работы. Основные задачи и направления исследования</w:t>
            </w:r>
          </w:p>
        </w:tc>
        <w:tc>
          <w:tcPr>
            <w:tcW w:w="6401" w:type="dxa"/>
          </w:tcPr>
          <w:p w:rsidR="000E7B50" w:rsidRDefault="00F718DB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 xml:space="preserve">Цель работы состояла в обосновании применения различных походов к учету ограничений режима энергосистемы при решении задачи обоснования резерва мощности. </w:t>
            </w:r>
          </w:p>
          <w:p w:rsidR="000E7B50" w:rsidRDefault="00F718DB">
            <w:pPr>
              <w:widowControl w:val="0"/>
              <w:tabs>
                <w:tab w:val="left" w:pos="317"/>
                <w:tab w:val="left" w:pos="600"/>
              </w:tabs>
              <w:ind w:firstLine="176"/>
              <w:jc w:val="both"/>
            </w:pPr>
            <w:r>
              <w:t xml:space="preserve">Для достижения цели поставлены и решены следующие задачи: </w:t>
            </w:r>
          </w:p>
          <w:p w:rsidR="000E7B50" w:rsidRDefault="00F718D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ind w:left="33" w:firstLine="143"/>
              <w:contextualSpacing w:val="0"/>
              <w:jc w:val="both"/>
            </w:pPr>
            <w:r>
              <w:t>разработаны три модели оценки случайного состояния системы – в идеализации по постоянному току, балансовая и балансовая с учетом ограничений по сечениям;</w:t>
            </w:r>
          </w:p>
          <w:p w:rsidR="000E7B50" w:rsidRDefault="00F718D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  <w:tab w:val="left" w:pos="600"/>
              </w:tabs>
              <w:ind w:left="33" w:firstLine="143"/>
              <w:contextualSpacing w:val="0"/>
              <w:jc w:val="both"/>
              <w:rPr>
                <w:rFonts w:eastAsia="Calibri"/>
              </w:rPr>
            </w:pPr>
            <w:r>
              <w:t>проведены исследования на реальных схемах по обоснованию величины резерва мощности.</w:t>
            </w:r>
          </w:p>
        </w:tc>
      </w:tr>
      <w:tr w:rsidR="000E7B50">
        <w:trPr>
          <w:trHeight w:val="603"/>
        </w:trPr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35" w:type="dxa"/>
          </w:tcPr>
          <w:p w:rsidR="000E7B50" w:rsidRDefault="00F718D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Описание (основные характеристики), этапы выполнения</w:t>
            </w:r>
          </w:p>
        </w:tc>
        <w:tc>
          <w:tcPr>
            <w:tcW w:w="6401" w:type="dxa"/>
          </w:tcPr>
          <w:p w:rsidR="000E7B50" w:rsidRDefault="00F718DB">
            <w:pPr>
              <w:pStyle w:val="af3"/>
              <w:ind w:firstLine="176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</w:rPr>
              <w:t>Экспериментальными расчетами на множестве моделей расчетных схем ЭЭС и при различных параметрах генерирующего и сетевого оборудования показано, что применение моделей оценки состояния системы, основанных на учете только балансовых ограничений между территориальными зонами и моделей в идеализации по постоянному току, приводит к практически одинаковым величинам оперативных резервов мощности в ЭЭС.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E7B50">
        <w:trPr>
          <w:trHeight w:val="563"/>
        </w:trPr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835" w:type="dxa"/>
          </w:tcPr>
          <w:p w:rsidR="000E7B50" w:rsidRDefault="00F718DB">
            <w:r>
              <w:t>Наименование и назначение результата</w:t>
            </w:r>
          </w:p>
          <w:p w:rsidR="000E7B50" w:rsidRDefault="000E7B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401" w:type="dxa"/>
          </w:tcPr>
          <w:p w:rsidR="000E7B50" w:rsidRDefault="00F718DB">
            <w:pPr>
              <w:pStyle w:val="af6"/>
              <w:ind w:firstLine="175"/>
              <w:jc w:val="both"/>
              <w:rPr>
                <w:rFonts w:eastAsia="Calibri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значимость результата состоит в значительном упрощении формирования исходной информации для обоснования параметров моделей расчетных схем при планировании развития ЭЭС для решения задачи балансовой надежности.</w:t>
            </w:r>
          </w:p>
        </w:tc>
      </w:tr>
      <w:tr w:rsidR="000E7B50">
        <w:trPr>
          <w:trHeight w:val="847"/>
        </w:trPr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2835" w:type="dxa"/>
          </w:tcPr>
          <w:p w:rsidR="000E7B50" w:rsidRDefault="00F718DB">
            <w:pPr>
              <w:widowControl w:val="0"/>
              <w:autoSpaceDE w:val="0"/>
              <w:autoSpaceDN w:val="0"/>
              <w:rPr>
                <w:rFonts w:eastAsia="Calibri"/>
                <w:u w:val="single"/>
              </w:rPr>
            </w:pPr>
            <w:r>
              <w:t>Ключевые показатели</w:t>
            </w:r>
            <w:r>
              <w:rPr>
                <w:rFonts w:eastAsia="Calibri"/>
              </w:rPr>
              <w:t xml:space="preserve"> исследования и основные этапы его выполнения (на перспективу - до 2025 года)</w:t>
            </w:r>
          </w:p>
        </w:tc>
        <w:tc>
          <w:tcPr>
            <w:tcW w:w="6401" w:type="dxa"/>
          </w:tcPr>
          <w:p w:rsidR="000E7B50" w:rsidRDefault="00F718DB">
            <w:pPr>
              <w:pStyle w:val="af3"/>
              <w:ind w:firstLine="175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Предполагается рассмотреть этапы совершенствования методического и модельного обеспечения задачи балансовой надежности за последние годы с позиций разработки новых методических указания (МУ) по проектированию развития энергосистем. Провести </w:t>
            </w:r>
            <w:r>
              <w:rPr>
                <w:rFonts w:ascii="Times New Roman" w:hAnsi="Times New Roman"/>
                <w:shd w:val="clear" w:color="auto" w:fill="FFFFFF"/>
              </w:rPr>
              <w:t>анализ разработанных и утвержденных Минэнерго РФ новых МУ и влияние их применения на принимаемые решения с позиций учета особенностей приведенных выше положений по оценке состояния ЭЭС.</w:t>
            </w:r>
            <w:r>
              <w:rPr>
                <w:highlight w:val="yellow"/>
              </w:rPr>
              <w:t xml:space="preserve"> </w:t>
            </w:r>
          </w:p>
        </w:tc>
      </w:tr>
      <w:tr w:rsidR="000E7B50">
        <w:trPr>
          <w:trHeight w:val="705"/>
        </w:trPr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835" w:type="dxa"/>
          </w:tcPr>
          <w:p w:rsidR="000E7B50" w:rsidRDefault="00F718DB">
            <w:pPr>
              <w:widowControl w:val="0"/>
              <w:autoSpaceDE w:val="0"/>
              <w:autoSpaceDN w:val="0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 xml:space="preserve">Результативность выполнения НИР </w:t>
            </w:r>
            <w:r>
              <w:t>(публикации, патенты, свидетельства) – что планируется</w:t>
            </w:r>
          </w:p>
        </w:tc>
        <w:tc>
          <w:tcPr>
            <w:tcW w:w="6401" w:type="dxa"/>
          </w:tcPr>
          <w:p w:rsidR="000E7B50" w:rsidRDefault="00F718DB">
            <w:pPr>
              <w:widowControl w:val="0"/>
              <w:jc w:val="both"/>
              <w:rPr>
                <w:rStyle w:val="author"/>
                <w:bCs/>
                <w:color w:val="000000"/>
              </w:rPr>
            </w:pPr>
            <w:r>
              <w:rPr>
                <w:rStyle w:val="author"/>
                <w:color w:val="000000"/>
              </w:rPr>
              <w:t xml:space="preserve">1. Чукреев Ю.Я. </w:t>
            </w:r>
            <w:r>
              <w:t>Влияние моделей оценки состояния в задаче обеспечения балансовой надежности на управленческие решения при планировании ЭЭС</w:t>
            </w:r>
            <w:r>
              <w:rPr>
                <w:rStyle w:val="author"/>
                <w:bCs/>
                <w:color w:val="000000"/>
              </w:rPr>
              <w:t xml:space="preserve"> // Методические вопросы исследования надежности больших систем энергетики: </w:t>
            </w:r>
            <w:proofErr w:type="spellStart"/>
            <w:r>
              <w:rPr>
                <w:rStyle w:val="author"/>
                <w:bCs/>
                <w:color w:val="000000"/>
              </w:rPr>
              <w:t>Вып</w:t>
            </w:r>
            <w:proofErr w:type="spellEnd"/>
            <w:r>
              <w:rPr>
                <w:rStyle w:val="author"/>
                <w:bCs/>
                <w:color w:val="000000"/>
              </w:rPr>
              <w:t xml:space="preserve">. 74. </w:t>
            </w:r>
            <w:r>
              <w:t xml:space="preserve">Надежность систем энергетики в условиях современных вызовов и угроз. Отв. ред. академик РАН В.А. </w:t>
            </w:r>
            <w:proofErr w:type="spellStart"/>
            <w:r>
              <w:t>Стенников</w:t>
            </w:r>
            <w:proofErr w:type="spellEnd"/>
            <w:r>
              <w:t xml:space="preserve">. - Иркутск: ИСЭМ СО РАН. - 2023. </w:t>
            </w:r>
            <w:r>
              <w:rPr>
                <w:spacing w:val="-8"/>
              </w:rPr>
              <w:t>– С. 166-175.</w:t>
            </w:r>
            <w:r>
              <w:rPr>
                <w:rStyle w:val="author"/>
                <w:bCs/>
                <w:color w:val="000000"/>
              </w:rPr>
              <w:t xml:space="preserve"> </w:t>
            </w:r>
          </w:p>
          <w:p w:rsidR="000E7B50" w:rsidRDefault="00F718DB">
            <w:pPr>
              <w:widowControl w:val="0"/>
              <w:jc w:val="both"/>
              <w:rPr>
                <w:rStyle w:val="author"/>
                <w:bCs/>
                <w:color w:val="000000"/>
              </w:rPr>
            </w:pPr>
            <w:r>
              <w:rPr>
                <w:rStyle w:val="author"/>
                <w:color w:val="000000"/>
              </w:rPr>
              <w:t>2. Чукреев М.Ю. И</w:t>
            </w:r>
            <w:r>
              <w:t xml:space="preserve">нформационное наполнение задачи балансовой надежности при управлении развитием электроэнергетических систем // </w:t>
            </w:r>
            <w:r>
              <w:rPr>
                <w:rStyle w:val="author"/>
                <w:bCs/>
                <w:color w:val="000000"/>
              </w:rPr>
              <w:t>там же, что и 1</w:t>
            </w:r>
            <w:r>
              <w:t xml:space="preserve"> </w:t>
            </w:r>
            <w:r>
              <w:rPr>
                <w:spacing w:val="-8"/>
              </w:rPr>
              <w:t>– С. 595-603.</w:t>
            </w:r>
            <w:r>
              <w:rPr>
                <w:rStyle w:val="author"/>
                <w:bCs/>
                <w:color w:val="000000"/>
              </w:rPr>
              <w:t xml:space="preserve"> </w:t>
            </w:r>
          </w:p>
          <w:p w:rsidR="000E7B50" w:rsidRDefault="00F718DB">
            <w:pPr>
              <w:widowControl w:val="0"/>
              <w:jc w:val="both"/>
              <w:rPr>
                <w:rStyle w:val="author"/>
                <w:bCs/>
                <w:color w:val="000000"/>
              </w:rPr>
            </w:pPr>
            <w:r>
              <w:rPr>
                <w:rStyle w:val="author"/>
                <w:color w:val="000000"/>
              </w:rPr>
              <w:t xml:space="preserve">3. Чукреев Ю.Я., Чукреев М.Ю. </w:t>
            </w:r>
            <w:r>
              <w:rPr>
                <w:rFonts w:eastAsiaTheme="minorHAnsi"/>
              </w:rPr>
              <w:t>Обеспечение балансовой надежности при управлении развитием электроэнергетических систем: состояние, проблемы, информационное наполнение</w:t>
            </w:r>
            <w:r>
              <w:t xml:space="preserve"> // </w:t>
            </w:r>
            <w:r>
              <w:rPr>
                <w:rStyle w:val="author"/>
                <w:bCs/>
                <w:color w:val="000000"/>
              </w:rPr>
              <w:t>там же, что и 1</w:t>
            </w:r>
            <w:r>
              <w:t xml:space="preserve">. </w:t>
            </w:r>
            <w:r>
              <w:rPr>
                <w:spacing w:val="-8"/>
              </w:rPr>
              <w:t>– С. 156-165.</w:t>
            </w:r>
            <w:r>
              <w:rPr>
                <w:rStyle w:val="author"/>
                <w:bCs/>
                <w:color w:val="000000"/>
              </w:rPr>
              <w:t xml:space="preserve"> </w:t>
            </w:r>
          </w:p>
          <w:p w:rsidR="000E7B50" w:rsidRDefault="00F718DB">
            <w:pPr>
              <w:tabs>
                <w:tab w:val="left" w:pos="851"/>
              </w:tabs>
              <w:jc w:val="both"/>
            </w:pPr>
            <w:r>
              <w:t>4. </w:t>
            </w:r>
            <w:proofErr w:type="spellStart"/>
            <w:r>
              <w:t>Готман</w:t>
            </w:r>
            <w:proofErr w:type="spellEnd"/>
            <w:r>
              <w:t xml:space="preserve"> Н.Э., Шумилова Г.П. Нейронные сети глубокого обучения как инструмент повышения надежности функционирования ЭЭС. // Научное электронное издание. </w:t>
            </w:r>
            <w:hyperlink r:id="rId8" w:history="1">
              <w:r w:rsidR="0049128F" w:rsidRPr="00F13ED4">
                <w:rPr>
                  <w:rStyle w:val="af2"/>
                </w:rPr>
                <w:t>https://www.sli.komi.com/files/</w:t>
              </w:r>
            </w:hyperlink>
            <w:r>
              <w:t>fevralskie_ chtenia_2023.pdf.- Сыктывкар: СЛИ, 2023</w:t>
            </w:r>
            <w:r>
              <w:rPr>
                <w:i/>
              </w:rPr>
              <w:t xml:space="preserve">. </w:t>
            </w:r>
            <w:r>
              <w:t xml:space="preserve">С.35-43. </w:t>
            </w:r>
          </w:p>
          <w:p w:rsidR="000E7B50" w:rsidRDefault="00F718DB">
            <w:pPr>
              <w:tabs>
                <w:tab w:val="left" w:pos="851"/>
              </w:tabs>
              <w:jc w:val="both"/>
            </w:pPr>
            <w:r>
              <w:t>5. Чукреев М.Ю. Стоимость мощности в ЕЭС России // Т</w:t>
            </w:r>
            <w:r>
              <w:rPr>
                <w:rStyle w:val="author"/>
                <w:bCs/>
                <w:color w:val="000000"/>
              </w:rPr>
              <w:t>ам же, что и 4</w:t>
            </w:r>
            <w:r>
              <w:t xml:space="preserve"> – С. 198-206.</w:t>
            </w:r>
          </w:p>
          <w:p w:rsidR="000E7B50" w:rsidRDefault="00F718DB">
            <w:pPr>
              <w:widowControl w:val="0"/>
              <w:tabs>
                <w:tab w:val="left" w:pos="851"/>
              </w:tabs>
              <w:jc w:val="both"/>
            </w:pPr>
            <w:r>
              <w:rPr>
                <w:rStyle w:val="author"/>
                <w:color w:val="000000"/>
              </w:rPr>
              <w:t xml:space="preserve">6. Чукреев Ю.Я. </w:t>
            </w:r>
            <w:r>
              <w:t>Обеспечение балансовой надежности при управлении развитием электроэнергетических систем в условиях энергетического перехода // Т</w:t>
            </w:r>
            <w:r>
              <w:rPr>
                <w:rStyle w:val="author"/>
                <w:bCs/>
                <w:color w:val="000000"/>
              </w:rPr>
              <w:t>ам же, что и 4</w:t>
            </w:r>
            <w:r>
              <w:t xml:space="preserve"> – С. 207-213.</w:t>
            </w:r>
          </w:p>
          <w:p w:rsidR="000E7B50" w:rsidRDefault="00F718DB">
            <w:pPr>
              <w:tabs>
                <w:tab w:val="left" w:pos="851"/>
              </w:tabs>
              <w:ind w:left="33"/>
              <w:jc w:val="both"/>
            </w:pPr>
            <w:r>
              <w:t>7. </w:t>
            </w:r>
            <w:proofErr w:type="spellStart"/>
            <w:r>
              <w:t>Готман</w:t>
            </w:r>
            <w:proofErr w:type="spellEnd"/>
            <w:r>
              <w:t xml:space="preserve"> Н.Э., Шумилова Г.П. Распознавание топологии электрической сети в реальном времени на основе нейронных сетей глубокого обучения. Севастополь, 23 марта 2023 г.: сборник научных трудов Севастополь, 23 марта 2023 г.: сборник научных трудов - </w:t>
            </w:r>
            <w:r>
              <w:rPr>
                <w:rStyle w:val="af5"/>
                <w:i w:val="0"/>
              </w:rPr>
              <w:t>С 187-194.</w:t>
            </w:r>
          </w:p>
          <w:p w:rsidR="000E7B50" w:rsidRDefault="00F718DB">
            <w:pPr>
              <w:ind w:firstLine="33"/>
              <w:jc w:val="both"/>
            </w:pPr>
            <w:r>
              <w:t xml:space="preserve">8. Хохлов М.В. Имитационное моделирование электромеханических переходных процессов в больших ЭЭС на машине реального времени РИТМ. // Международная научно-техническая конференция «Состояние и перспективы развития электро- и </w:t>
            </w:r>
            <w:proofErr w:type="spellStart"/>
            <w:r>
              <w:t>теплотехнологии</w:t>
            </w:r>
            <w:proofErr w:type="spellEnd"/>
            <w:r>
              <w:t>» (XX</w:t>
            </w:r>
            <w:r>
              <w:rPr>
                <w:lang w:val="en-US"/>
              </w:rPr>
              <w:t>I</w:t>
            </w:r>
            <w:r>
              <w:t xml:space="preserve">I </w:t>
            </w:r>
            <w:proofErr w:type="spellStart"/>
            <w:r>
              <w:t>Бенардосовские</w:t>
            </w:r>
            <w:proofErr w:type="spellEnd"/>
            <w:r>
              <w:t xml:space="preserve"> чтения) (г. Иваново, 31 мая - 2 июня 2023 г). Том 1. Иваново: ИГЭУ им. В.И.Ленина, 2023.- С. 317-321.</w:t>
            </w:r>
          </w:p>
          <w:p w:rsidR="000E7B50" w:rsidRDefault="00F718DB">
            <w:pPr>
              <w:jc w:val="both"/>
            </w:pPr>
            <w:r>
              <w:t xml:space="preserve">9. Хохлов М.В. Применение </w:t>
            </w:r>
            <w:proofErr w:type="spellStart"/>
            <w:r>
              <w:rPr>
                <w:lang w:val="en-US"/>
              </w:rPr>
              <w:t>ModelingToolkit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jl</w:t>
            </w:r>
            <w:proofErr w:type="spellEnd"/>
            <w:r>
              <w:t xml:space="preserve"> для моделирования динамики ЭЭС. Там же, что и 8 – С. 321-325. 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10. 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Yu., 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M. The rationale for the </w:t>
            </w:r>
            <w:r>
              <w:rPr>
                <w:lang w:val="en-US"/>
              </w:rPr>
              <w:lastRenderedPageBreak/>
              <w:t xml:space="preserve">constituent regulatory of power reserve in relation to modern conditions for the development UES of </w:t>
            </w:r>
            <w:proofErr w:type="gramStart"/>
            <w:r>
              <w:rPr>
                <w:lang w:val="en-US"/>
              </w:rPr>
              <w:t>Russia  /</w:t>
            </w:r>
            <w:proofErr w:type="gramEnd"/>
            <w:r>
              <w:rPr>
                <w:lang w:val="en-US"/>
              </w:rPr>
              <w:t xml:space="preserve">/ AIP Conf. Proc. 5 Jan. – 2023. – Vol. 2552. - N.1. - 040002. – P 1-6 DOI: 10.1063/5.0111426. (0,6 </w:t>
            </w:r>
            <w:proofErr w:type="spellStart"/>
            <w:r>
              <w:t>пл</w:t>
            </w:r>
            <w:proofErr w:type="spellEnd"/>
            <w:r>
              <w:rPr>
                <w:lang w:val="en-US"/>
              </w:rPr>
              <w:t>)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11. 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M. </w:t>
            </w:r>
            <w:r>
              <w:rPr>
                <w:color w:val="1D1B1B"/>
                <w:lang w:val="en-US"/>
              </w:rPr>
              <w:t>The influence of various factors on the power price</w:t>
            </w:r>
            <w:r>
              <w:rPr>
                <w:lang w:val="en-US"/>
              </w:rPr>
              <w:t xml:space="preserve"> // AIP Conf. Proc. 5 Jan. – 2023. – Vol. 2552. - N.1. - 040003. – P. 1-6. </w:t>
            </w:r>
            <w:r>
              <w:rPr>
                <w:bdr w:val="none" w:sz="0" w:space="0" w:color="auto" w:frame="1"/>
                <w:shd w:val="clear" w:color="auto" w:fill="FFFFFF"/>
                <w:lang w:val="en-US"/>
              </w:rPr>
              <w:t>DOI: 10.1063/5.0111442</w:t>
            </w:r>
            <w:r>
              <w:rPr>
                <w:lang w:val="en-US"/>
              </w:rPr>
              <w:t xml:space="preserve">. 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12. 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Yu. The models of formation random states the generating power in the tasks providing the balance reliability of electric power systems when planning their development // AIP Conf. Proc. 5 Jan. – 2023. – Vol. 2552. - N.1. - 050002. – P. 1-6. DOI: 10.1063/5.0111427 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13. 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M. The influence of the market type in the electric power industry on its reliability on the example EPS of Russia // </w:t>
            </w:r>
            <w:proofErr w:type="spellStart"/>
            <w:r>
              <w:rPr>
                <w:color w:val="000000"/>
                <w:lang w:val="en-US"/>
              </w:rPr>
              <w:t>Rudenko</w:t>
            </w:r>
            <w:proofErr w:type="spellEnd"/>
            <w:r>
              <w:rPr>
                <w:color w:val="000000"/>
                <w:lang w:val="en-US"/>
              </w:rPr>
              <w:t xml:space="preserve"> International Conference “Methodological Problems in Reliability Study of Large Energy Systems” (RSES 2022). - 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E3S Web of Conferences. – 2023. - Vol.384. </w:t>
            </w:r>
            <w:r>
              <w:rPr>
                <w:lang w:val="en-US"/>
              </w:rPr>
              <w:t>–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 01008. -  P 1-5. </w:t>
            </w:r>
            <w:r>
              <w:rPr>
                <w:shd w:val="clear" w:color="auto" w:fill="FFFFFF"/>
                <w:lang w:val="en-US"/>
              </w:rPr>
              <w:t>DOI: 10.1051/e3sconf/202338401008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14. </w:t>
            </w:r>
            <w:proofErr w:type="spellStart"/>
            <w:r>
              <w:rPr>
                <w:lang w:val="en-US"/>
              </w:rPr>
              <w:t>Gotman</w:t>
            </w:r>
            <w:proofErr w:type="spellEnd"/>
            <w:r>
              <w:rPr>
                <w:lang w:val="en-US"/>
              </w:rPr>
              <w:t xml:space="preserve"> N., </w:t>
            </w:r>
            <w:proofErr w:type="spellStart"/>
            <w:r>
              <w:rPr>
                <w:lang w:val="en-US"/>
              </w:rPr>
              <w:t>Shumilova</w:t>
            </w:r>
            <w:proofErr w:type="spellEnd"/>
            <w:r>
              <w:rPr>
                <w:lang w:val="en-US"/>
              </w:rPr>
              <w:t xml:space="preserve"> G. Real-time Power System Topology Recognition through Convolutional Neural Networks // </w:t>
            </w:r>
            <w:proofErr w:type="spellStart"/>
            <w:r>
              <w:rPr>
                <w:lang w:val="en-US"/>
              </w:rPr>
              <w:t>Rudenko</w:t>
            </w:r>
            <w:proofErr w:type="spellEnd"/>
            <w:r>
              <w:rPr>
                <w:lang w:val="en-US"/>
              </w:rPr>
              <w:t xml:space="preserve"> International Conference «Methodological problems in reliability study of large energy systems» (RSES 2022). – E3S Web of Conferences. – 2023. </w:t>
            </w:r>
            <w:r>
              <w:rPr>
                <w:b/>
                <w:lang w:val="en-US"/>
              </w:rPr>
              <w:t xml:space="preserve">- </w:t>
            </w:r>
            <w:r>
              <w:rPr>
                <w:rStyle w:val="af8"/>
                <w:color w:val="111111"/>
                <w:lang w:val="en-US"/>
              </w:rPr>
              <w:t xml:space="preserve">Vol. </w:t>
            </w:r>
            <w:r>
              <w:rPr>
                <w:lang w:val="en-US"/>
              </w:rPr>
              <w:t xml:space="preserve">384. – 01005. - P.1-5 DOI: 10.1051/e3sconf/202338401005 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15. 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Yu. Ensuring balance reliability in managing the development of electric power systems with renewable energy sources // </w:t>
            </w:r>
            <w:proofErr w:type="spellStart"/>
            <w:r>
              <w:rPr>
                <w:lang w:val="en-US"/>
              </w:rPr>
              <w:t>Rudenko</w:t>
            </w:r>
            <w:proofErr w:type="spellEnd"/>
            <w:r>
              <w:rPr>
                <w:lang w:val="en-US"/>
              </w:rPr>
              <w:t xml:space="preserve"> International Conference «Methodological problems in reliability study of large energy systems» (RSES 2022). – E3S Web of Conferences. – 2023. - </w:t>
            </w:r>
            <w:r>
              <w:rPr>
                <w:bCs/>
                <w:lang w:val="en-US"/>
              </w:rPr>
              <w:t>Vol.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384. – 01009. P 1-5.  DOI: 10.1051/e3sconf/202338401009 </w:t>
            </w:r>
          </w:p>
          <w:p w:rsidR="000E7B50" w:rsidRDefault="00F718DB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16. 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Yu., The influence of models assessing the state in task of ensuring balance reliability on managerial decisions when the ups planning // </w:t>
            </w:r>
            <w:proofErr w:type="spellStart"/>
            <w:r>
              <w:rPr>
                <w:shd w:val="clear" w:color="auto" w:fill="FFFFFF"/>
                <w:lang w:val="en-US"/>
              </w:rPr>
              <w:t>Rudenko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International Conference “Methodological Problems in Reliability Study of Large Energy Systems” (RSES 2023</w:t>
            </w:r>
            <w:r>
              <w:rPr>
                <w:color w:val="000000"/>
                <w:lang w:val="en-US"/>
              </w:rPr>
              <w:t xml:space="preserve">). - 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E3S Web of Conferences. – 2023. - Vol.461. </w:t>
            </w:r>
            <w:r>
              <w:rPr>
                <w:lang w:val="en-US"/>
              </w:rPr>
              <w:t>–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01008. -  P. 1-6. </w:t>
            </w:r>
            <w:r>
              <w:rPr>
                <w:shd w:val="clear" w:color="auto" w:fill="FFFFFF"/>
                <w:lang w:val="en-US"/>
              </w:rPr>
              <w:t xml:space="preserve">DOI: https://doi.org/10.1051/e3sconf/202346101009 </w:t>
            </w:r>
          </w:p>
          <w:p w:rsidR="000E7B50" w:rsidRDefault="00F718DB">
            <w:pPr>
              <w:widowControl w:val="0"/>
              <w:jc w:val="both"/>
              <w:rPr>
                <w:rFonts w:eastAsia="Calibri"/>
                <w:highlight w:val="yellow"/>
                <w:lang w:val="en-US"/>
              </w:rPr>
            </w:pPr>
            <w:r>
              <w:rPr>
                <w:lang w:val="en-US"/>
              </w:rPr>
              <w:t>17. </w:t>
            </w:r>
            <w:proofErr w:type="spellStart"/>
            <w:r>
              <w:rPr>
                <w:lang w:val="en-US"/>
              </w:rPr>
              <w:t>Chukreyev</w:t>
            </w:r>
            <w:proofErr w:type="spellEnd"/>
            <w:r>
              <w:rPr>
                <w:lang w:val="en-US"/>
              </w:rPr>
              <w:t xml:space="preserve"> M. Information content the task of balance reliability in managing the development of electric power systems // </w:t>
            </w:r>
            <w:proofErr w:type="spellStart"/>
            <w:r>
              <w:rPr>
                <w:shd w:val="clear" w:color="auto" w:fill="FFFFFF"/>
                <w:lang w:val="en-US"/>
              </w:rPr>
              <w:t>Rudenko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International Conference “Methodological Problems in Reliability Study of Large Energy Systems” (RSES 2023</w:t>
            </w:r>
            <w:r>
              <w:rPr>
                <w:color w:val="000000"/>
                <w:lang w:val="en-US"/>
              </w:rPr>
              <w:t xml:space="preserve">). - 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E3S Web of Conferences. – 2023. - Vol.461. </w:t>
            </w:r>
            <w:r>
              <w:rPr>
                <w:lang w:val="en-US"/>
              </w:rPr>
              <w:t>–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 01008. -  P. 1-5. </w:t>
            </w:r>
            <w:r>
              <w:rPr>
                <w:shd w:val="clear" w:color="auto" w:fill="FFFFFF"/>
                <w:lang w:val="en-US"/>
              </w:rPr>
              <w:t xml:space="preserve">DOI: https://doi.org/10.1051/e3sconf/202346101010 </w:t>
            </w:r>
          </w:p>
        </w:tc>
      </w:tr>
      <w:tr w:rsidR="000E7B50">
        <w:trPr>
          <w:trHeight w:val="616"/>
        </w:trPr>
        <w:tc>
          <w:tcPr>
            <w:tcW w:w="567" w:type="dxa"/>
          </w:tcPr>
          <w:p w:rsidR="000E7B50" w:rsidRDefault="00F718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10</w:t>
            </w:r>
          </w:p>
        </w:tc>
        <w:tc>
          <w:tcPr>
            <w:tcW w:w="2835" w:type="dxa"/>
          </w:tcPr>
          <w:p w:rsidR="000E7B50" w:rsidRDefault="00F718DB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>
              <w:t>Руководитель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исполнители</w:t>
            </w:r>
            <w:r>
              <w:rPr>
                <w:lang w:val="en-US"/>
              </w:rPr>
              <w:t xml:space="preserve"> </w:t>
            </w:r>
            <w:r>
              <w:t>НИР</w:t>
            </w:r>
          </w:p>
        </w:tc>
        <w:tc>
          <w:tcPr>
            <w:tcW w:w="6401" w:type="dxa"/>
          </w:tcPr>
          <w:p w:rsidR="000E7B50" w:rsidRDefault="00F962B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Руководитель - Чукреев Ю.Я.</w:t>
            </w:r>
            <w:r w:rsidR="00F718DB">
              <w:rPr>
                <w:rFonts w:eastAsia="Calibri"/>
              </w:rPr>
              <w:t xml:space="preserve"> </w:t>
            </w:r>
          </w:p>
          <w:p w:rsidR="000E7B50" w:rsidRDefault="00F718D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Исполнители: Чукреев М.Ю., Шумилова Г.П., </w:t>
            </w:r>
            <w:proofErr w:type="spellStart"/>
            <w:r>
              <w:rPr>
                <w:rFonts w:eastAsia="Calibri"/>
              </w:rPr>
              <w:t>Готман</w:t>
            </w:r>
            <w:proofErr w:type="spellEnd"/>
            <w:r>
              <w:rPr>
                <w:rFonts w:eastAsia="Calibri"/>
              </w:rPr>
              <w:t xml:space="preserve"> Н.Э. Хохлов М.В.</w:t>
            </w:r>
          </w:p>
        </w:tc>
      </w:tr>
    </w:tbl>
    <w:p w:rsidR="000E7B50" w:rsidRDefault="000E7B50">
      <w:pPr>
        <w:ind w:left="644"/>
        <w:rPr>
          <w:b/>
          <w:i/>
        </w:rPr>
      </w:pPr>
    </w:p>
    <w:p w:rsidR="00DF41FD" w:rsidRDefault="00DF41FD">
      <w:pPr>
        <w:ind w:left="644"/>
        <w:rPr>
          <w:b/>
          <w:i/>
        </w:rPr>
      </w:pPr>
    </w:p>
    <w:p w:rsidR="00DF41FD" w:rsidRDefault="00DF41FD">
      <w:pPr>
        <w:ind w:left="644"/>
        <w:rPr>
          <w:b/>
          <w:i/>
        </w:rPr>
      </w:pPr>
    </w:p>
    <w:p w:rsidR="00DF41FD" w:rsidRDefault="00DF41FD">
      <w:pPr>
        <w:ind w:left="644"/>
        <w:rPr>
          <w:b/>
          <w:i/>
        </w:rPr>
      </w:pPr>
    </w:p>
    <w:p w:rsidR="00DF41FD" w:rsidRDefault="00DF41FD">
      <w:pPr>
        <w:ind w:left="644"/>
        <w:rPr>
          <w:b/>
          <w:i/>
        </w:rPr>
      </w:pPr>
    </w:p>
    <w:p w:rsidR="00DF41FD" w:rsidRDefault="00DF41FD">
      <w:pPr>
        <w:ind w:left="644"/>
        <w:rPr>
          <w:b/>
          <w:i/>
        </w:rPr>
      </w:pPr>
    </w:p>
    <w:p w:rsidR="00C8652A" w:rsidRDefault="00C8652A" w:rsidP="00C8652A">
      <w:pPr>
        <w:jc w:val="center"/>
        <w:rPr>
          <w:b/>
        </w:rPr>
      </w:pPr>
      <w:r>
        <w:rPr>
          <w:b/>
        </w:rPr>
        <w:lastRenderedPageBreak/>
        <w:t>Концепция кафедраль</w:t>
      </w:r>
      <w:bookmarkStart w:id="0" w:name="_GoBack"/>
      <w:bookmarkEnd w:id="0"/>
      <w:r>
        <w:rPr>
          <w:b/>
        </w:rPr>
        <w:t xml:space="preserve">ной темы НИР по научной теме института </w:t>
      </w:r>
    </w:p>
    <w:p w:rsidR="00483EE9" w:rsidRDefault="00C8652A" w:rsidP="00C8652A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483EE9">
        <w:rPr>
          <w:b/>
        </w:rPr>
        <w:t xml:space="preserve">«Стратегические направления развития лесного комплекса </w:t>
      </w:r>
    </w:p>
    <w:p w:rsidR="00DF41FD" w:rsidRDefault="00483EE9" w:rsidP="00483EE9">
      <w:pPr>
        <w:spacing w:line="276" w:lineRule="auto"/>
        <w:jc w:val="center"/>
        <w:rPr>
          <w:b/>
        </w:rPr>
      </w:pPr>
      <w:r>
        <w:rPr>
          <w:b/>
        </w:rPr>
        <w:t xml:space="preserve">Республики Коми до 2030 года: методология и практика» </w:t>
      </w:r>
    </w:p>
    <w:p w:rsidR="00483EE9" w:rsidRDefault="00DF41FD" w:rsidP="00483EE9">
      <w:pPr>
        <w:spacing w:line="276" w:lineRule="auto"/>
        <w:jc w:val="center"/>
        <w:rPr>
          <w:b/>
        </w:rPr>
      </w:pPr>
      <w:r>
        <w:rPr>
          <w:b/>
        </w:rPr>
        <w:t>направление Теплоэнергетика и теплотехника</w:t>
      </w:r>
    </w:p>
    <w:p w:rsidR="00483EE9" w:rsidRDefault="00483EE9">
      <w:pPr>
        <w:ind w:left="644"/>
        <w:rPr>
          <w:b/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15"/>
        <w:gridCol w:w="6308"/>
      </w:tblGrid>
      <w:tr w:rsidR="00483EE9" w:rsidTr="00F33FA9">
        <w:trPr>
          <w:tblHeader/>
        </w:trPr>
        <w:tc>
          <w:tcPr>
            <w:tcW w:w="567" w:type="dxa"/>
            <w:vAlign w:val="center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Критерий</w:t>
            </w:r>
          </w:p>
        </w:tc>
        <w:tc>
          <w:tcPr>
            <w:tcW w:w="6401" w:type="dxa"/>
            <w:vAlign w:val="center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Пояснение</w:t>
            </w:r>
          </w:p>
        </w:tc>
      </w:tr>
      <w:tr w:rsidR="00483EE9" w:rsidTr="00F33FA9"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35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Наименование кафедральной темы НИР</w:t>
            </w:r>
          </w:p>
          <w:p w:rsidR="00483EE9" w:rsidRDefault="00483EE9" w:rsidP="00F33FA9">
            <w:pPr>
              <w:autoSpaceDE w:val="0"/>
              <w:autoSpaceDN w:val="0"/>
              <w:adjustRightInd w:val="0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6401" w:type="dxa"/>
          </w:tcPr>
          <w:p w:rsidR="00483EE9" w:rsidRDefault="00483EE9" w:rsidP="006E7D1D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</w:rPr>
            </w:pPr>
            <w:r w:rsidRPr="0084471A">
              <w:rPr>
                <w:rFonts w:eastAsia="Calibri"/>
              </w:rPr>
              <w:t>Теплофизические и термохимические свойства древесного сырья и методики инновационной энергетики</w:t>
            </w:r>
          </w:p>
        </w:tc>
      </w:tr>
      <w:tr w:rsidR="00483EE9" w:rsidTr="00F33FA9"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Соответствие темы НИР </w:t>
            </w:r>
            <w:r>
              <w:t xml:space="preserve">основным </w:t>
            </w:r>
            <w:r>
              <w:rPr>
                <w:rFonts w:eastAsia="Calibri"/>
              </w:rPr>
              <w:t xml:space="preserve">приоритетам развития </w:t>
            </w:r>
            <w:r>
              <w:t>лесного сектора экономики РК</w:t>
            </w:r>
          </w:p>
        </w:tc>
        <w:tc>
          <w:tcPr>
            <w:tcW w:w="6401" w:type="dxa"/>
          </w:tcPr>
          <w:p w:rsidR="00483EE9" w:rsidRDefault="00483EE9" w:rsidP="006E7D1D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</w:t>
            </w:r>
            <w:r w:rsidR="00EE2661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</w:t>
            </w:r>
            <w:r w:rsidR="00EE2661">
              <w:rPr>
                <w:rFonts w:eastAsia="Calibri"/>
              </w:rPr>
              <w:t>Стратегией-2030</w:t>
            </w:r>
            <w:r>
              <w:rPr>
                <w:rFonts w:eastAsia="Calibri"/>
              </w:rPr>
              <w:t xml:space="preserve"> </w:t>
            </w:r>
            <w:r w:rsidR="00EE2661">
              <w:rPr>
                <w:rFonts w:eastAsia="Calibri"/>
              </w:rPr>
              <w:t xml:space="preserve">развития лесного комплекса изучение свойств древесных материалов с последующим созданием древесно-полимерных композитов позволяет увеличить степень использования древесного сырь, создать конкурентные материалы с заданными теплофизическими свойствами. </w:t>
            </w:r>
          </w:p>
        </w:tc>
      </w:tr>
      <w:tr w:rsidR="00483EE9" w:rsidTr="00F33FA9"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5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Актуальность исследования с т. з. решений проблем эффективного развития лесного сектора экономики</w:t>
            </w:r>
          </w:p>
        </w:tc>
        <w:tc>
          <w:tcPr>
            <w:tcW w:w="6401" w:type="dxa"/>
          </w:tcPr>
          <w:p w:rsidR="00483EE9" w:rsidRDefault="00EE2661" w:rsidP="006E7D1D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Современные материалы – это сложные </w:t>
            </w:r>
            <w:proofErr w:type="spellStart"/>
            <w:r>
              <w:rPr>
                <w:rFonts w:eastAsia="Calibri"/>
              </w:rPr>
              <w:t>многокомпозиционные</w:t>
            </w:r>
            <w:proofErr w:type="spellEnd"/>
            <w:r>
              <w:rPr>
                <w:rFonts w:eastAsia="Calibri"/>
              </w:rPr>
              <w:t xml:space="preserve"> материалы с заданными свойствами. Древесно-полимерные композиты применяются активно в строительстве. Однако создание материалов с заранее заданными свойствами – это новый инновационный подход. Программирую полимерную матрицу можно создавать материалы с заранее заданными свойствами.</w:t>
            </w:r>
          </w:p>
        </w:tc>
      </w:tr>
      <w:tr w:rsidR="00483EE9" w:rsidTr="00F33FA9"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835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Новизна (уникальность) предлагаемой технологии (разработки и др.)</w:t>
            </w:r>
          </w:p>
        </w:tc>
        <w:tc>
          <w:tcPr>
            <w:tcW w:w="6401" w:type="dxa"/>
          </w:tcPr>
          <w:p w:rsidR="0084471A" w:rsidRPr="0084471A" w:rsidRDefault="00EE2661" w:rsidP="006E7D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полимерных материалов с заранее заданными свойствами исследуется с 80-х годов. Активно эти методики разработаны в рамках концепции </w:t>
            </w:r>
            <w:proofErr w:type="gramStart"/>
            <w:r w:rsidR="0084471A">
              <w:rPr>
                <w:rFonts w:eastAsia="Calibri"/>
                <w:lang w:val="en-US"/>
              </w:rPr>
              <w:t>QSAR</w:t>
            </w:r>
            <w:r w:rsidR="0084471A" w:rsidRPr="0084471A">
              <w:rPr>
                <w:rFonts w:eastAsia="Calibri"/>
              </w:rPr>
              <w:t>(</w:t>
            </w:r>
            <w:proofErr w:type="spellStart"/>
            <w:proofErr w:type="gramEnd"/>
            <w:r w:rsidR="0084471A" w:rsidRPr="0084471A">
              <w:rPr>
                <w:rFonts w:eastAsia="Calibri"/>
              </w:rPr>
              <w:fldChar w:fldCharType="begin"/>
            </w:r>
            <w:r w:rsidR="0084471A" w:rsidRPr="0084471A">
              <w:rPr>
                <w:rFonts w:eastAsia="Calibri"/>
              </w:rPr>
              <w:instrText xml:space="preserve"> HYPERLINK "https://en.wikipedia.org/wiki/Quantitative_structure%E2%80%93activity_relationship" </w:instrText>
            </w:r>
            <w:r w:rsidR="0084471A" w:rsidRPr="0084471A">
              <w:rPr>
                <w:rFonts w:eastAsia="Calibri"/>
              </w:rPr>
              <w:fldChar w:fldCharType="separate"/>
            </w:r>
            <w:r w:rsidR="0084471A" w:rsidRPr="0084471A">
              <w:rPr>
                <w:rFonts w:eastAsia="Calibri"/>
              </w:rPr>
              <w:t>Quantitative</w:t>
            </w:r>
            <w:proofErr w:type="spellEnd"/>
            <w:r w:rsidR="0084471A" w:rsidRPr="0084471A">
              <w:rPr>
                <w:rFonts w:eastAsia="Calibri"/>
              </w:rPr>
              <w:t xml:space="preserve"> </w:t>
            </w:r>
            <w:proofErr w:type="spellStart"/>
            <w:r w:rsidR="0084471A" w:rsidRPr="0084471A">
              <w:rPr>
                <w:rFonts w:eastAsia="Calibri"/>
              </w:rPr>
              <w:t>structure</w:t>
            </w:r>
            <w:proofErr w:type="spellEnd"/>
            <w:r w:rsidR="0084471A" w:rsidRPr="0084471A">
              <w:rPr>
                <w:rFonts w:eastAsia="Calibri"/>
              </w:rPr>
              <w:t>–</w:t>
            </w:r>
            <w:proofErr w:type="spellStart"/>
            <w:r w:rsidR="0084471A" w:rsidRPr="0084471A">
              <w:rPr>
                <w:rFonts w:eastAsia="Calibri"/>
              </w:rPr>
              <w:t>activity</w:t>
            </w:r>
            <w:proofErr w:type="spellEnd"/>
            <w:r w:rsidR="0084471A" w:rsidRPr="0084471A">
              <w:rPr>
                <w:rFonts w:eastAsia="Calibri"/>
              </w:rPr>
              <w:t xml:space="preserve"> </w:t>
            </w:r>
            <w:proofErr w:type="spellStart"/>
            <w:r w:rsidR="0084471A" w:rsidRPr="0084471A">
              <w:rPr>
                <w:rFonts w:eastAsia="Calibri"/>
              </w:rPr>
              <w:t>relationship</w:t>
            </w:r>
            <w:proofErr w:type="spellEnd"/>
            <w:r w:rsidR="0084471A" w:rsidRPr="0084471A">
              <w:rPr>
                <w:rFonts w:eastAsia="Calibri"/>
              </w:rPr>
              <w:t xml:space="preserve">) </w:t>
            </w:r>
            <w:r w:rsidR="0084471A">
              <w:rPr>
                <w:rFonts w:eastAsia="Calibri"/>
              </w:rPr>
              <w:t>количественных корреляций структура-свойство. Использование данного подхода для создания древесно-полимерных композитов открывает возможности получения новых «умных» материалов с заранее известными свойствами.</w:t>
            </w:r>
          </w:p>
          <w:p w:rsidR="00483EE9" w:rsidRPr="0084471A" w:rsidRDefault="0084471A" w:rsidP="006E7D1D">
            <w:pPr>
              <w:jc w:val="both"/>
              <w:rPr>
                <w:rFonts w:eastAsia="Calibri"/>
              </w:rPr>
            </w:pPr>
            <w:r w:rsidRPr="0084471A">
              <w:rPr>
                <w:rFonts w:eastAsia="Calibri"/>
              </w:rPr>
              <w:fldChar w:fldCharType="end"/>
            </w:r>
          </w:p>
        </w:tc>
      </w:tr>
      <w:tr w:rsidR="00483EE9" w:rsidTr="00F33FA9">
        <w:trPr>
          <w:trHeight w:val="329"/>
        </w:trPr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35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Цель работы. Основные задачи и направления исследования</w:t>
            </w:r>
          </w:p>
        </w:tc>
        <w:tc>
          <w:tcPr>
            <w:tcW w:w="6401" w:type="dxa"/>
          </w:tcPr>
          <w:p w:rsidR="00483EE9" w:rsidRDefault="00483EE9" w:rsidP="006E7D1D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Цель работы состояла в обоснован</w:t>
            </w:r>
            <w:r w:rsidR="0084471A">
              <w:t xml:space="preserve">ии применения различных количественных корреляций «структура-свойство» для расчета свойств древесных полимерных композитов. </w:t>
            </w:r>
          </w:p>
          <w:p w:rsidR="00483EE9" w:rsidRDefault="00483EE9" w:rsidP="006E7D1D">
            <w:pPr>
              <w:widowControl w:val="0"/>
              <w:tabs>
                <w:tab w:val="left" w:pos="317"/>
                <w:tab w:val="left" w:pos="600"/>
              </w:tabs>
              <w:ind w:firstLine="176"/>
              <w:jc w:val="both"/>
            </w:pPr>
            <w:r>
              <w:t xml:space="preserve">Для достижения цели поставлены следующие задачи: </w:t>
            </w:r>
          </w:p>
          <w:p w:rsidR="00483EE9" w:rsidRDefault="0084471A" w:rsidP="006E7D1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ind w:left="33" w:firstLine="143"/>
              <w:contextualSpacing w:val="0"/>
              <w:jc w:val="both"/>
            </w:pPr>
            <w:r>
              <w:t>на основании дискриминирующей способности и однозначности выбранных методов расчета свойств полимерных материалов определить наиболее подходящие методы</w:t>
            </w:r>
            <w:r w:rsidR="00483EE9">
              <w:t>;</w:t>
            </w:r>
          </w:p>
          <w:p w:rsidR="00483EE9" w:rsidRDefault="0084471A" w:rsidP="006E7D1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  <w:tab w:val="left" w:pos="600"/>
              </w:tabs>
              <w:ind w:left="33" w:firstLine="143"/>
              <w:contextualSpacing w:val="0"/>
              <w:jc w:val="both"/>
              <w:rPr>
                <w:rFonts w:eastAsia="Calibri"/>
              </w:rPr>
            </w:pPr>
            <w:r>
              <w:t>создание базы данных свойств полимерных материалов для составления количественных корреляций «структура-свойство»</w:t>
            </w:r>
            <w:r w:rsidR="00483EE9">
              <w:t>.</w:t>
            </w:r>
          </w:p>
        </w:tc>
      </w:tr>
      <w:tr w:rsidR="00483EE9" w:rsidTr="00F33FA9">
        <w:trPr>
          <w:trHeight w:val="603"/>
        </w:trPr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35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Описание (основные характеристики), этапы выполнения</w:t>
            </w:r>
          </w:p>
        </w:tc>
        <w:tc>
          <w:tcPr>
            <w:tcW w:w="6401" w:type="dxa"/>
          </w:tcPr>
          <w:p w:rsidR="0084471A" w:rsidRPr="006E7D1D" w:rsidRDefault="006E7D1D" w:rsidP="006E7D1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ind w:left="33" w:firstLine="143"/>
              <w:contextualSpacing w:val="0"/>
              <w:jc w:val="both"/>
            </w:pPr>
            <w:r>
              <w:t>В</w:t>
            </w:r>
            <w:r w:rsidR="0084471A" w:rsidRPr="006E7D1D">
              <w:t>ыбор объектов исследования (типов полимеров), объединения их в группы по структуре и составу;</w:t>
            </w:r>
          </w:p>
          <w:p w:rsidR="006E7D1D" w:rsidRPr="006E7D1D" w:rsidRDefault="006E7D1D" w:rsidP="006E7D1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ind w:left="33" w:firstLine="143"/>
              <w:contextualSpacing w:val="0"/>
              <w:jc w:val="both"/>
            </w:pPr>
            <w:r>
              <w:t>П</w:t>
            </w:r>
            <w:r w:rsidRPr="006E7D1D">
              <w:t>рименения методов математического моделирования для расчета свойств полимерных материалов (методы Ван-</w:t>
            </w:r>
            <w:proofErr w:type="spellStart"/>
            <w:r w:rsidRPr="006E7D1D">
              <w:t>Кревелена</w:t>
            </w:r>
            <w:proofErr w:type="spellEnd"/>
            <w:r w:rsidRPr="006E7D1D">
              <w:t xml:space="preserve"> Д.С., </w:t>
            </w:r>
            <w:proofErr w:type="spellStart"/>
            <w:r w:rsidRPr="006E7D1D">
              <w:t>Бицерано</w:t>
            </w:r>
            <w:proofErr w:type="spellEnd"/>
            <w:r w:rsidRPr="006E7D1D">
              <w:t xml:space="preserve"> Дж.);</w:t>
            </w:r>
          </w:p>
          <w:p w:rsidR="006E7D1D" w:rsidRDefault="006E7D1D" w:rsidP="006E7D1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ind w:left="33" w:firstLine="143"/>
              <w:contextualSpacing w:val="0"/>
              <w:jc w:val="both"/>
            </w:pPr>
            <w:r>
              <w:t>А</w:t>
            </w:r>
            <w:r w:rsidRPr="006E7D1D">
              <w:t>нализ полученных данных;</w:t>
            </w:r>
          </w:p>
          <w:p w:rsidR="00483EE9" w:rsidRPr="006E7D1D" w:rsidRDefault="006E7D1D" w:rsidP="006E7D1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ind w:left="33" w:firstLine="143"/>
              <w:contextualSpacing w:val="0"/>
              <w:jc w:val="both"/>
            </w:pPr>
            <w:r w:rsidRPr="006E7D1D">
              <w:t xml:space="preserve">Использование выбранного метода расчета для </w:t>
            </w:r>
            <w:r w:rsidRPr="006E7D1D">
              <w:lastRenderedPageBreak/>
              <w:t>определения свойств древесных полимерных композитов.</w:t>
            </w:r>
            <w:r w:rsidR="0084471A" w:rsidRPr="006E7D1D">
              <w:t xml:space="preserve"> </w:t>
            </w:r>
          </w:p>
        </w:tc>
      </w:tr>
      <w:tr w:rsidR="00483EE9" w:rsidTr="00F33FA9">
        <w:trPr>
          <w:trHeight w:val="563"/>
        </w:trPr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2835" w:type="dxa"/>
          </w:tcPr>
          <w:p w:rsidR="00483EE9" w:rsidRDefault="00483EE9" w:rsidP="00F33FA9">
            <w:r>
              <w:t>Наименование и назначение результата</w:t>
            </w:r>
          </w:p>
          <w:p w:rsidR="00483EE9" w:rsidRDefault="00483EE9" w:rsidP="00F33FA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401" w:type="dxa"/>
          </w:tcPr>
          <w:p w:rsidR="00483EE9" w:rsidRDefault="00483EE9" w:rsidP="006E7D1D">
            <w:pPr>
              <w:pStyle w:val="af6"/>
              <w:ind w:firstLine="175"/>
              <w:jc w:val="both"/>
              <w:rPr>
                <w:rFonts w:eastAsia="Calibri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значимость результата состоит в </w:t>
            </w:r>
            <w:r w:rsidR="006E7D1D">
              <w:rPr>
                <w:rFonts w:ascii="Times New Roman" w:hAnsi="Times New Roman"/>
                <w:sz w:val="24"/>
                <w:szCs w:val="24"/>
              </w:rPr>
              <w:t>создании древесно-полимерных композитов с требуемыми теплофизическими свойствами для дальнейшего их использования в строительстве.</w:t>
            </w:r>
          </w:p>
        </w:tc>
      </w:tr>
      <w:tr w:rsidR="00483EE9" w:rsidTr="00F33FA9">
        <w:trPr>
          <w:trHeight w:val="847"/>
        </w:trPr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835" w:type="dxa"/>
          </w:tcPr>
          <w:p w:rsidR="00483EE9" w:rsidRDefault="00483EE9" w:rsidP="00F33FA9">
            <w:pPr>
              <w:widowControl w:val="0"/>
              <w:autoSpaceDE w:val="0"/>
              <w:autoSpaceDN w:val="0"/>
              <w:rPr>
                <w:rFonts w:eastAsia="Calibri"/>
                <w:u w:val="single"/>
              </w:rPr>
            </w:pPr>
            <w:r>
              <w:t>Ключевые показатели</w:t>
            </w:r>
            <w:r>
              <w:rPr>
                <w:rFonts w:eastAsia="Calibri"/>
              </w:rPr>
              <w:t xml:space="preserve"> исследования и основные этапы его выполнения (на перспективу - до 2025 года)</w:t>
            </w:r>
          </w:p>
        </w:tc>
        <w:tc>
          <w:tcPr>
            <w:tcW w:w="6401" w:type="dxa"/>
          </w:tcPr>
          <w:p w:rsidR="00483EE9" w:rsidRDefault="00483EE9" w:rsidP="006E7D1D">
            <w:pPr>
              <w:pStyle w:val="af3"/>
              <w:ind w:firstLine="175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Предполагается </w:t>
            </w:r>
            <w:r w:rsidR="006E7D1D">
              <w:rPr>
                <w:rFonts w:ascii="Times New Roman" w:hAnsi="Times New Roman"/>
              </w:rPr>
              <w:t>создание методического и программного обеспечения для создания полимерных материалов с заданными свойствами.</w:t>
            </w:r>
          </w:p>
        </w:tc>
      </w:tr>
      <w:tr w:rsidR="00483EE9" w:rsidTr="006E7D1D">
        <w:trPr>
          <w:trHeight w:val="705"/>
        </w:trPr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83EE9" w:rsidRPr="006E7D1D" w:rsidRDefault="00483EE9" w:rsidP="00F33FA9">
            <w:pPr>
              <w:widowControl w:val="0"/>
              <w:autoSpaceDE w:val="0"/>
              <w:autoSpaceDN w:val="0"/>
              <w:rPr>
                <w:rFonts w:eastAsia="Calibri"/>
                <w:u w:val="single"/>
              </w:rPr>
            </w:pPr>
            <w:r w:rsidRPr="006E7D1D">
              <w:rPr>
                <w:rFonts w:eastAsia="Calibri"/>
              </w:rPr>
              <w:t xml:space="preserve">Результативность выполнения НИР </w:t>
            </w:r>
            <w:r w:rsidRPr="006E7D1D">
              <w:t>(публикации, патенты, свидетельства) – что планируется</w:t>
            </w:r>
          </w:p>
        </w:tc>
        <w:tc>
          <w:tcPr>
            <w:tcW w:w="6401" w:type="dxa"/>
            <w:shd w:val="clear" w:color="auto" w:fill="auto"/>
          </w:tcPr>
          <w:p w:rsidR="00483EE9" w:rsidRPr="006E7D1D" w:rsidRDefault="006E7D1D" w:rsidP="006E7D1D">
            <w:pPr>
              <w:widowControl w:val="0"/>
              <w:jc w:val="both"/>
              <w:rPr>
                <w:rFonts w:eastAsia="Calibri"/>
              </w:rPr>
            </w:pPr>
            <w:r w:rsidRPr="006E7D1D">
              <w:rPr>
                <w:rFonts w:eastAsia="Calibri"/>
              </w:rPr>
              <w:t>Статья в сборнике ВАК</w:t>
            </w:r>
          </w:p>
        </w:tc>
      </w:tr>
      <w:tr w:rsidR="00483EE9" w:rsidTr="00F33FA9">
        <w:trPr>
          <w:trHeight w:val="616"/>
        </w:trPr>
        <w:tc>
          <w:tcPr>
            <w:tcW w:w="567" w:type="dxa"/>
          </w:tcPr>
          <w:p w:rsidR="00483EE9" w:rsidRDefault="00483EE9" w:rsidP="00F33FA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2835" w:type="dxa"/>
          </w:tcPr>
          <w:p w:rsidR="00483EE9" w:rsidRDefault="00483EE9" w:rsidP="00F33FA9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>
              <w:t>Руководитель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исполнители</w:t>
            </w:r>
            <w:r>
              <w:rPr>
                <w:lang w:val="en-US"/>
              </w:rPr>
              <w:t xml:space="preserve"> </w:t>
            </w:r>
            <w:r>
              <w:t>НИР</w:t>
            </w:r>
          </w:p>
        </w:tc>
        <w:tc>
          <w:tcPr>
            <w:tcW w:w="6401" w:type="dxa"/>
          </w:tcPr>
          <w:p w:rsidR="00483EE9" w:rsidRDefault="00326769" w:rsidP="006E7D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- </w:t>
            </w:r>
            <w:proofErr w:type="spellStart"/>
            <w:r>
              <w:rPr>
                <w:rFonts w:eastAsia="Calibri"/>
              </w:rPr>
              <w:t>Чукреев</w:t>
            </w:r>
            <w:proofErr w:type="spellEnd"/>
            <w:r>
              <w:rPr>
                <w:rFonts w:eastAsia="Calibri"/>
              </w:rPr>
              <w:t xml:space="preserve"> Ю.Я.</w:t>
            </w:r>
          </w:p>
          <w:p w:rsidR="00483EE9" w:rsidRDefault="00483EE9" w:rsidP="003267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Исполнители: </w:t>
            </w:r>
            <w:r w:rsidR="006E7D1D">
              <w:rPr>
                <w:rFonts w:eastAsia="Calibri"/>
              </w:rPr>
              <w:t>Соловьев</w:t>
            </w:r>
            <w:r w:rsidR="00326769">
              <w:rPr>
                <w:rFonts w:eastAsia="Calibri"/>
              </w:rPr>
              <w:t xml:space="preserve"> П.В.</w:t>
            </w:r>
          </w:p>
        </w:tc>
      </w:tr>
    </w:tbl>
    <w:p w:rsidR="00483EE9" w:rsidRDefault="00483EE9">
      <w:pPr>
        <w:ind w:left="644"/>
        <w:rPr>
          <w:b/>
          <w:i/>
        </w:rPr>
      </w:pPr>
    </w:p>
    <w:p w:rsidR="000E7B50" w:rsidRDefault="000E7B50">
      <w:pPr>
        <w:jc w:val="center"/>
        <w:rPr>
          <w:i/>
          <w:caps/>
          <w:sz w:val="20"/>
          <w:szCs w:val="20"/>
        </w:rPr>
      </w:pPr>
    </w:p>
    <w:sectPr w:rsidR="000E7B50">
      <w:footerReference w:type="even" r:id="rId9"/>
      <w:footerReference w:type="default" r:id="rId10"/>
      <w:pgSz w:w="11906" w:h="16838"/>
      <w:pgMar w:top="709" w:right="96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EA" w:rsidRDefault="00404BEA">
      <w:r>
        <w:separator/>
      </w:r>
    </w:p>
  </w:endnote>
  <w:endnote w:type="continuationSeparator" w:id="0">
    <w:p w:rsidR="00404BEA" w:rsidRDefault="004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B50" w:rsidRDefault="00F718D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7B50" w:rsidRDefault="000E7B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B50" w:rsidRDefault="000E7B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EA" w:rsidRDefault="00404BEA">
      <w:r>
        <w:separator/>
      </w:r>
    </w:p>
  </w:footnote>
  <w:footnote w:type="continuationSeparator" w:id="0">
    <w:p w:rsidR="00404BEA" w:rsidRDefault="0040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4E5"/>
    <w:multiLevelType w:val="hybridMultilevel"/>
    <w:tmpl w:val="830E4C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AA0A76"/>
    <w:multiLevelType w:val="hybridMultilevel"/>
    <w:tmpl w:val="CF28AB48"/>
    <w:lvl w:ilvl="0" w:tplc="6BA29F2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75273C"/>
    <w:multiLevelType w:val="hybridMultilevel"/>
    <w:tmpl w:val="A142DAF6"/>
    <w:lvl w:ilvl="0" w:tplc="FA647E8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97F"/>
    <w:multiLevelType w:val="multilevel"/>
    <w:tmpl w:val="F1EC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80CDB"/>
    <w:multiLevelType w:val="multilevel"/>
    <w:tmpl w:val="A8926B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CB04FC"/>
    <w:multiLevelType w:val="hybridMultilevel"/>
    <w:tmpl w:val="D248945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14A51F39"/>
    <w:multiLevelType w:val="hybridMultilevel"/>
    <w:tmpl w:val="AFE8C836"/>
    <w:lvl w:ilvl="0" w:tplc="41EAF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80534F1"/>
    <w:multiLevelType w:val="hybridMultilevel"/>
    <w:tmpl w:val="DE90C376"/>
    <w:lvl w:ilvl="0" w:tplc="3B768D84">
      <w:start w:val="1"/>
      <w:numFmt w:val="decimal"/>
      <w:lvlText w:val="%1."/>
      <w:lvlJc w:val="left"/>
      <w:pPr>
        <w:tabs>
          <w:tab w:val="num" w:pos="567"/>
        </w:tabs>
        <w:ind w:left="567" w:firstLine="360"/>
      </w:pPr>
      <w:rPr>
        <w:rFonts w:ascii="Times New Roman" w:eastAsia="Times New Roman" w:hAnsi="Times New Roman" w:cs="Times New Roman" w:hint="default"/>
        <w:b w:val="0"/>
        <w:bCs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F10DA"/>
    <w:multiLevelType w:val="hybridMultilevel"/>
    <w:tmpl w:val="406A9F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8804FD"/>
    <w:multiLevelType w:val="hybridMultilevel"/>
    <w:tmpl w:val="3A16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5043"/>
    <w:multiLevelType w:val="multilevel"/>
    <w:tmpl w:val="B99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721D4"/>
    <w:multiLevelType w:val="hybridMultilevel"/>
    <w:tmpl w:val="7B48DADC"/>
    <w:lvl w:ilvl="0" w:tplc="E15899E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35881"/>
    <w:multiLevelType w:val="hybridMultilevel"/>
    <w:tmpl w:val="04D83A78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7EF2"/>
    <w:multiLevelType w:val="hybridMultilevel"/>
    <w:tmpl w:val="AFE8C836"/>
    <w:lvl w:ilvl="0" w:tplc="41EAF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82B438C"/>
    <w:multiLevelType w:val="hybridMultilevel"/>
    <w:tmpl w:val="2418FF72"/>
    <w:lvl w:ilvl="0" w:tplc="C422D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42C15"/>
    <w:multiLevelType w:val="hybridMultilevel"/>
    <w:tmpl w:val="A1443A9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A3749C2"/>
    <w:multiLevelType w:val="hybridMultilevel"/>
    <w:tmpl w:val="08DE8AD0"/>
    <w:lvl w:ilvl="0" w:tplc="92E4B2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2651"/>
    <w:multiLevelType w:val="hybridMultilevel"/>
    <w:tmpl w:val="4764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44A59"/>
    <w:multiLevelType w:val="hybridMultilevel"/>
    <w:tmpl w:val="C1A6B01E"/>
    <w:lvl w:ilvl="0" w:tplc="4CDE40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157ACA"/>
    <w:multiLevelType w:val="hybridMultilevel"/>
    <w:tmpl w:val="E1D09A2A"/>
    <w:lvl w:ilvl="0" w:tplc="0126557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56D41"/>
    <w:multiLevelType w:val="multilevel"/>
    <w:tmpl w:val="4F1A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57478"/>
    <w:multiLevelType w:val="hybridMultilevel"/>
    <w:tmpl w:val="D006F594"/>
    <w:lvl w:ilvl="0" w:tplc="FA647E8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767"/>
    <w:multiLevelType w:val="hybridMultilevel"/>
    <w:tmpl w:val="408A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1501B"/>
    <w:multiLevelType w:val="hybridMultilevel"/>
    <w:tmpl w:val="7E48289C"/>
    <w:lvl w:ilvl="0" w:tplc="73EC992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D610F7"/>
    <w:multiLevelType w:val="multilevel"/>
    <w:tmpl w:val="0B6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C06C8"/>
    <w:multiLevelType w:val="hybridMultilevel"/>
    <w:tmpl w:val="AD8699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735638"/>
    <w:multiLevelType w:val="hybridMultilevel"/>
    <w:tmpl w:val="F878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7057B"/>
    <w:multiLevelType w:val="hybridMultilevel"/>
    <w:tmpl w:val="A6BE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37E9E"/>
    <w:multiLevelType w:val="hybridMultilevel"/>
    <w:tmpl w:val="9E3AB6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49554E"/>
    <w:multiLevelType w:val="hybridMultilevel"/>
    <w:tmpl w:val="9E3AB6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9B555D"/>
    <w:multiLevelType w:val="hybridMultilevel"/>
    <w:tmpl w:val="326A74F8"/>
    <w:lvl w:ilvl="0" w:tplc="E15899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F4F74"/>
    <w:multiLevelType w:val="hybridMultilevel"/>
    <w:tmpl w:val="70280C22"/>
    <w:lvl w:ilvl="0" w:tplc="B41C1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13404"/>
    <w:multiLevelType w:val="multilevel"/>
    <w:tmpl w:val="F822F5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D2447CE"/>
    <w:multiLevelType w:val="hybridMultilevel"/>
    <w:tmpl w:val="C32ACDAE"/>
    <w:lvl w:ilvl="0" w:tplc="4606C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8669A"/>
    <w:multiLevelType w:val="hybridMultilevel"/>
    <w:tmpl w:val="DE8C24F6"/>
    <w:lvl w:ilvl="0" w:tplc="3C247B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29C1"/>
    <w:multiLevelType w:val="hybridMultilevel"/>
    <w:tmpl w:val="1C901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8A3808"/>
    <w:multiLevelType w:val="hybridMultilevel"/>
    <w:tmpl w:val="762CE714"/>
    <w:lvl w:ilvl="0" w:tplc="A2A41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25"/>
  </w:num>
  <w:num w:numId="6">
    <w:abstractNumId w:val="31"/>
  </w:num>
  <w:num w:numId="7">
    <w:abstractNumId w:val="29"/>
  </w:num>
  <w:num w:numId="8">
    <w:abstractNumId w:val="34"/>
  </w:num>
  <w:num w:numId="9">
    <w:abstractNumId w:val="30"/>
  </w:num>
  <w:num w:numId="10">
    <w:abstractNumId w:val="1"/>
  </w:num>
  <w:num w:numId="11">
    <w:abstractNumId w:val="28"/>
  </w:num>
  <w:num w:numId="12">
    <w:abstractNumId w:val="27"/>
  </w:num>
  <w:num w:numId="13">
    <w:abstractNumId w:val="36"/>
  </w:num>
  <w:num w:numId="14">
    <w:abstractNumId w:val="7"/>
  </w:num>
  <w:num w:numId="15">
    <w:abstractNumId w:val="20"/>
  </w:num>
  <w:num w:numId="16">
    <w:abstractNumId w:val="10"/>
  </w:num>
  <w:num w:numId="17">
    <w:abstractNumId w:val="35"/>
  </w:num>
  <w:num w:numId="18">
    <w:abstractNumId w:val="4"/>
  </w:num>
  <w:num w:numId="19">
    <w:abstractNumId w:val="32"/>
  </w:num>
  <w:num w:numId="20">
    <w:abstractNumId w:val="18"/>
  </w:num>
  <w:num w:numId="21">
    <w:abstractNumId w:val="13"/>
  </w:num>
  <w:num w:numId="22">
    <w:abstractNumId w:val="19"/>
  </w:num>
  <w:num w:numId="23">
    <w:abstractNumId w:val="14"/>
  </w:num>
  <w:num w:numId="24">
    <w:abstractNumId w:val="21"/>
  </w:num>
  <w:num w:numId="25">
    <w:abstractNumId w:val="9"/>
  </w:num>
  <w:num w:numId="26">
    <w:abstractNumId w:val="2"/>
  </w:num>
  <w:num w:numId="27">
    <w:abstractNumId w:val="16"/>
  </w:num>
  <w:num w:numId="28">
    <w:abstractNumId w:val="33"/>
  </w:num>
  <w:num w:numId="29">
    <w:abstractNumId w:val="15"/>
  </w:num>
  <w:num w:numId="30">
    <w:abstractNumId w:val="24"/>
  </w:num>
  <w:num w:numId="31">
    <w:abstractNumId w:val="3"/>
  </w:num>
  <w:num w:numId="32">
    <w:abstractNumId w:val="23"/>
  </w:num>
  <w:num w:numId="33">
    <w:abstractNumId w:val="22"/>
  </w:num>
  <w:num w:numId="34">
    <w:abstractNumId w:val="26"/>
  </w:num>
  <w:num w:numId="35">
    <w:abstractNumId w:val="0"/>
  </w:num>
  <w:num w:numId="36">
    <w:abstractNumId w:val="5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50"/>
    <w:rsid w:val="00095EA3"/>
    <w:rsid w:val="000E7B50"/>
    <w:rsid w:val="00137F2E"/>
    <w:rsid w:val="00326769"/>
    <w:rsid w:val="00404BEA"/>
    <w:rsid w:val="00483EE9"/>
    <w:rsid w:val="0049128F"/>
    <w:rsid w:val="005271AA"/>
    <w:rsid w:val="00625178"/>
    <w:rsid w:val="006442D4"/>
    <w:rsid w:val="006E7D1D"/>
    <w:rsid w:val="007E63B4"/>
    <w:rsid w:val="007F5E1E"/>
    <w:rsid w:val="0084471A"/>
    <w:rsid w:val="008A365E"/>
    <w:rsid w:val="00C30AC4"/>
    <w:rsid w:val="00C8652A"/>
    <w:rsid w:val="00DF41FD"/>
    <w:rsid w:val="00E0729F"/>
    <w:rsid w:val="00EE2661"/>
    <w:rsid w:val="00EE7091"/>
    <w:rsid w:val="00F718DB"/>
    <w:rsid w:val="00F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025F8-DCEC-4375-9EB0-6FC49775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20">
    <w:name w:val="Заголовок 2 Знак"/>
    <w:link w:val="2"/>
    <w:rPr>
      <w:b/>
      <w:sz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rFonts w:eastAsia="Calibri"/>
      <w:szCs w:val="20"/>
    </w:rPr>
  </w:style>
  <w:style w:type="paragraph" w:styleId="ab">
    <w:name w:val="Body Text"/>
    <w:basedOn w:val="a"/>
    <w:link w:val="ac"/>
    <w:pPr>
      <w:jc w:val="center"/>
    </w:pPr>
    <w:rPr>
      <w:szCs w:val="20"/>
    </w:rPr>
  </w:style>
  <w:style w:type="character" w:customStyle="1" w:styleId="ac">
    <w:name w:val="Основной текст Знак"/>
    <w:link w:val="ab"/>
    <w:rPr>
      <w:sz w:val="24"/>
    </w:rPr>
  </w:style>
  <w:style w:type="paragraph" w:styleId="22">
    <w:name w:val="Body Text 2"/>
    <w:basedOn w:val="a"/>
    <w:link w:val="23"/>
    <w:pPr>
      <w:jc w:val="both"/>
    </w:pPr>
    <w:rPr>
      <w:szCs w:val="20"/>
    </w:rPr>
  </w:style>
  <w:style w:type="character" w:customStyle="1" w:styleId="23">
    <w:name w:val="Основной текст 2 Знак"/>
    <w:link w:val="22"/>
    <w:rPr>
      <w:sz w:val="24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</w:style>
  <w:style w:type="paragraph" w:customStyle="1" w:styleId="10">
    <w:name w:val="Обычный1"/>
    <w:rPr>
      <w:sz w:val="24"/>
    </w:rPr>
  </w:style>
  <w:style w:type="paragraph" w:styleId="af">
    <w:name w:val="Balloon Text"/>
    <w:basedOn w:val="a"/>
    <w:link w:val="af0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urrent">
    <w:name w:val="current"/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No Spacing"/>
    <w:aliases w:val="Инициалы,Без отступа"/>
    <w:link w:val="af4"/>
    <w:uiPriority w:val="1"/>
    <w:qFormat/>
    <w:pPr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4">
    <w:name w:val="Без интервала Знак"/>
    <w:aliases w:val="Инициалы Знак,Без отступа Знак"/>
    <w:basedOn w:val="a0"/>
    <w:link w:val="af3"/>
    <w:uiPriority w:val="1"/>
    <w:locked/>
    <w:rPr>
      <w:rFonts w:ascii="Arial" w:eastAsia="Calibri" w:hAnsi="Arial" w:cs="Arial"/>
      <w:sz w:val="24"/>
      <w:szCs w:val="24"/>
      <w:lang w:val="ru-RU" w:eastAsia="en-US" w:bidi="ar-SA"/>
    </w:rPr>
  </w:style>
  <w:style w:type="character" w:customStyle="1" w:styleId="author">
    <w:name w:val="author"/>
    <w:basedOn w:val="a0"/>
    <w:qFormat/>
  </w:style>
  <w:style w:type="character" w:styleId="af5">
    <w:name w:val="Emphasis"/>
    <w:uiPriority w:val="20"/>
    <w:qFormat/>
    <w:rPr>
      <w:i/>
      <w:iCs/>
    </w:rPr>
  </w:style>
  <w:style w:type="paragraph" w:styleId="af6">
    <w:name w:val="Plain Text"/>
    <w:basedOn w:val="a"/>
    <w:link w:val="af7"/>
    <w:qFormat/>
    <w:rPr>
      <w:rFonts w:ascii="Courier New" w:hAnsi="Courier New"/>
      <w:sz w:val="20"/>
      <w:szCs w:val="20"/>
      <w:lang w:eastAsia="en-US"/>
    </w:rPr>
  </w:style>
  <w:style w:type="character" w:customStyle="1" w:styleId="af7">
    <w:name w:val="Текст Знак"/>
    <w:basedOn w:val="a0"/>
    <w:link w:val="af6"/>
    <w:rPr>
      <w:rFonts w:ascii="Courier New" w:hAnsi="Courier New"/>
      <w:lang w:eastAsia="en-US"/>
    </w:rPr>
  </w:style>
  <w:style w:type="character" w:styleId="af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.komi.com/fi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44EA-D24A-4D0D-B85F-ACAE1EA3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СЛИ</Company>
  <LinksUpToDate>false</LinksUpToDate>
  <CharactersWithSpaces>10953</CharactersWithSpaces>
  <SharedDoc>false</SharedDoc>
  <HLinks>
    <vt:vector size="12" baseType="variant">
      <vt:variant>
        <vt:i4>5767187</vt:i4>
      </vt:variant>
      <vt:variant>
        <vt:i4>3</vt:i4>
      </vt:variant>
      <vt:variant>
        <vt:i4>0</vt:i4>
      </vt:variant>
      <vt:variant>
        <vt:i4>5</vt:i4>
      </vt:variant>
      <vt:variant>
        <vt:lpwstr>http://lib.sfi.komi.com/ft/301-001821.pdf</vt:lpwstr>
      </vt:variant>
      <vt:variant>
        <vt:lpwstr/>
      </vt:variant>
      <vt:variant>
        <vt:i4>5767184</vt:i4>
      </vt:variant>
      <vt:variant>
        <vt:i4>0</vt:i4>
      </vt:variant>
      <vt:variant>
        <vt:i4>0</vt:i4>
      </vt:variant>
      <vt:variant>
        <vt:i4>5</vt:i4>
      </vt:variant>
      <vt:variant>
        <vt:lpwstr>http://lib.sfi.komi.com/ft/301-001822.pdf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nataliai</dc:creator>
  <cp:lastModifiedBy>Ольга Н. Роттэ</cp:lastModifiedBy>
  <cp:revision>3</cp:revision>
  <cp:lastPrinted>2022-11-30T12:56:00Z</cp:lastPrinted>
  <dcterms:created xsi:type="dcterms:W3CDTF">2024-01-25T06:24:00Z</dcterms:created>
  <dcterms:modified xsi:type="dcterms:W3CDTF">2024-01-25T06:27:00Z</dcterms:modified>
</cp:coreProperties>
</file>